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L’agenzia delle entrate con la circolare n. 7/E del 27/04/2018 ha fornito indicazioni, tra le altre, in merito alle detrazioni per le spese scolastiche.</w:t>
      </w:r>
    </w:p>
    <w:p w:rsidR="00FE7C5F" w:rsidRPr="00FE7C5F" w:rsidRDefault="00FE7C5F" w:rsidP="00FE7C5F">
      <w:pPr>
        <w:spacing w:before="300" w:after="300" w:line="240" w:lineRule="auto"/>
        <w:textAlignment w:val="baseline"/>
        <w:outlineLvl w:val="1"/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</w:pPr>
      <w:r w:rsidRPr="00FE7C5F"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  <w:t>Spese detraibili</w:t>
      </w:r>
    </w:p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L’Agenzia ricorda che è possibile detrarre il 19% delle spese scolastiche.</w:t>
      </w:r>
    </w:p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Il limite massimo detraibile, per le scuole dell’infanzia, primaria e secondaria, è di 717 euro per figlio.</w:t>
      </w:r>
    </w:p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Sono detraibile le seguenti spese: mensa e  servizi integrativi; gite scolastiche; assicurazione; contributi relativi all’ampliamento dell’offerta formativa deliberati dagli organi d’istituto.</w:t>
      </w:r>
    </w:p>
    <w:p w:rsidR="00FE7C5F" w:rsidRPr="00FE7C5F" w:rsidRDefault="00FE7C5F" w:rsidP="00FE7C5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 xml:space="preserve">Per informazioni dettagliate vedi la </w:t>
      </w:r>
      <w:hyperlink r:id="rId5" w:anchor="page=97" w:history="1">
        <w:r w:rsidRPr="00FE7C5F">
          <w:rPr>
            <w:rFonts w:ascii="&amp;quot" w:eastAsia="Times New Roman" w:hAnsi="&amp;quot" w:cs="Times New Roman"/>
            <w:color w:val="791900"/>
            <w:sz w:val="24"/>
            <w:szCs w:val="24"/>
            <w:u w:val="single"/>
          </w:rPr>
          <w:t>circolare</w:t>
        </w:r>
      </w:hyperlink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 xml:space="preserve"> n. 7/E del 27/04/2018.</w:t>
      </w:r>
    </w:p>
    <w:p w:rsidR="00FE7C5F" w:rsidRPr="00FE7C5F" w:rsidRDefault="00FE7C5F" w:rsidP="00FE7C5F">
      <w:pPr>
        <w:spacing w:before="300" w:after="300" w:line="240" w:lineRule="auto"/>
        <w:textAlignment w:val="baseline"/>
        <w:outlineLvl w:val="1"/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</w:pPr>
      <w:r w:rsidRPr="00FE7C5F"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  <w:t>Integrazione dichiarazione</w:t>
      </w:r>
    </w:p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Nel caso in cui il contribuente abbia già prodotto la dichiarazione dei redditi, è possibile procedere all’integrazione della stessa.</w:t>
      </w:r>
    </w:p>
    <w:p w:rsidR="00FE7C5F" w:rsidRPr="00FE7C5F" w:rsidRDefault="00FE7C5F" w:rsidP="00FE7C5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L’integrazione, tuttavia, non è sempre possibile, come riferito in “730 integrativo, ecco come fare per correggere gli errori”. </w:t>
      </w:r>
      <w:hyperlink r:id="rId6" w:history="1">
        <w:r w:rsidRPr="00FE7C5F">
          <w:rPr>
            <w:rFonts w:ascii="&amp;quot" w:eastAsia="Times New Roman" w:hAnsi="&amp;quot" w:cs="Times New Roman"/>
            <w:color w:val="791900"/>
            <w:sz w:val="24"/>
            <w:szCs w:val="24"/>
            <w:u w:val="single"/>
          </w:rPr>
          <w:t>Controlla</w:t>
        </w:r>
      </w:hyperlink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 xml:space="preserve"> se nel tuo caso è possibile integrare la dichiarazione già effettuata.</w:t>
      </w:r>
    </w:p>
    <w:p w:rsidR="00FE7C5F" w:rsidRPr="00FE7C5F" w:rsidRDefault="00FE7C5F" w:rsidP="00FE7C5F">
      <w:pPr>
        <w:spacing w:before="300" w:after="300" w:line="240" w:lineRule="auto"/>
        <w:textAlignment w:val="baseline"/>
        <w:outlineLvl w:val="1"/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</w:pPr>
      <w:r w:rsidRPr="00FE7C5F">
        <w:rPr>
          <w:rFonts w:ascii="&amp;quot" w:eastAsia="Times New Roman" w:hAnsi="&amp;quot" w:cs="Times New Roman"/>
          <w:b/>
          <w:bCs/>
          <w:color w:val="474747"/>
          <w:sz w:val="30"/>
          <w:szCs w:val="30"/>
        </w:rPr>
        <w:t>DSA</w:t>
      </w:r>
    </w:p>
    <w:p w:rsidR="00FE7C5F" w:rsidRPr="00FE7C5F" w:rsidRDefault="00FE7C5F" w:rsidP="00FE7C5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Sono </w:t>
      </w:r>
      <w:r w:rsidRPr="00FE7C5F">
        <w:rPr>
          <w:rFonts w:ascii="&amp;quot" w:eastAsia="Times New Roman" w:hAnsi="&amp;quot" w:cs="Times New Roman"/>
          <w:b/>
          <w:bCs/>
          <w:color w:val="474747"/>
          <w:sz w:val="24"/>
          <w:szCs w:val="24"/>
        </w:rPr>
        <w:t>detraibili</w:t>
      </w: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, inoltre, le </w:t>
      </w:r>
      <w:r w:rsidRPr="00FE7C5F">
        <w:rPr>
          <w:rFonts w:ascii="&amp;quot" w:eastAsia="Times New Roman" w:hAnsi="&amp;quot" w:cs="Times New Roman"/>
          <w:b/>
          <w:bCs/>
          <w:color w:val="474747"/>
          <w:sz w:val="24"/>
          <w:szCs w:val="24"/>
        </w:rPr>
        <w:t>spese</w:t>
      </w: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 xml:space="preserve"> effettuate per l’acquisto di strumenti compensativi e supporti tecnici e informatici (al riguardo vedi Linee Guida </w:t>
      </w:r>
      <w:proofErr w:type="spellStart"/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Miur</w:t>
      </w:r>
      <w:proofErr w:type="spellEnd"/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), tra i quali:</w:t>
      </w:r>
    </w:p>
    <w:p w:rsidR="00FE7C5F" w:rsidRPr="00FE7C5F" w:rsidRDefault="00FE7C5F" w:rsidP="00FE7C5F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sintesi vocale (trasforma un compito di lettura in uno di ascolto);</w:t>
      </w: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br/>
        <w:t>registratore (consente all’alunno di ascoltare la lezione);</w:t>
      </w:r>
    </w:p>
    <w:p w:rsidR="00FE7C5F" w:rsidRPr="00FE7C5F" w:rsidRDefault="00FE7C5F" w:rsidP="00FE7C5F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programmi di video scrittura con correttore ortografico (permettono la produzione di testi sufficientemente corretti, evitando l’affaticamento della rilettura e della contestuale correzione degli errori);</w:t>
      </w:r>
    </w:p>
    <w:p w:rsidR="00FE7C5F" w:rsidRPr="00FE7C5F" w:rsidRDefault="00FE7C5F" w:rsidP="00FE7C5F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apparecchiature e dispositivi basati su tecnologie meccaniche, elettroniche o informatiche;</w:t>
      </w:r>
    </w:p>
    <w:p w:rsidR="00FE7C5F" w:rsidRPr="00FE7C5F" w:rsidRDefault="00FE7C5F" w:rsidP="00FE7C5F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calcolatrice (facilita le operazioni di calcolo);</w:t>
      </w:r>
    </w:p>
    <w:p w:rsidR="00FE7C5F" w:rsidRPr="00FE7C5F" w:rsidRDefault="00FE7C5F" w:rsidP="00FE7C5F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altri strumenti quali tabelle, formulari, mappe concettuali …</w:t>
      </w:r>
    </w:p>
    <w:p w:rsidR="00FE7C5F" w:rsidRPr="00FE7C5F" w:rsidRDefault="00FE7C5F" w:rsidP="00FE7C5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Per poter usufruire della detrazione, si deve dimostrare l’utilità della spesa ai fini dell’apprendimento, presentando i seguenti </w:t>
      </w:r>
      <w:r w:rsidRPr="00FE7C5F">
        <w:rPr>
          <w:rFonts w:ascii="&amp;quot" w:eastAsia="Times New Roman" w:hAnsi="&amp;quot" w:cs="Times New Roman"/>
          <w:b/>
          <w:bCs/>
          <w:color w:val="474747"/>
          <w:sz w:val="24"/>
          <w:szCs w:val="24"/>
        </w:rPr>
        <w:t>documenti</w:t>
      </w: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:</w:t>
      </w:r>
    </w:p>
    <w:p w:rsidR="00FE7C5F" w:rsidRPr="00FE7C5F" w:rsidRDefault="00FE7C5F" w:rsidP="00FE7C5F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certificato medico attestante il collegamento tra i sussidi/strumenti acquistati e il tipo di disturbo diagnosticato;</w:t>
      </w:r>
    </w:p>
    <w:p w:rsidR="00FE7C5F" w:rsidRPr="00FE7C5F" w:rsidRDefault="00FE7C5F" w:rsidP="00FE7C5F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documento di acquisto o di utilizzo dello strumento.</w:t>
      </w:r>
    </w:p>
    <w:p w:rsidR="00FE7C5F" w:rsidRPr="00FE7C5F" w:rsidRDefault="00FE7C5F" w:rsidP="00FE7C5F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474747"/>
          <w:sz w:val="24"/>
          <w:szCs w:val="24"/>
        </w:rPr>
      </w:pPr>
      <w:r w:rsidRPr="00FE7C5F">
        <w:rPr>
          <w:rFonts w:ascii="&amp;quot" w:eastAsia="Times New Roman" w:hAnsi="&amp;quot" w:cs="Times New Roman"/>
          <w:color w:val="474747"/>
          <w:sz w:val="24"/>
          <w:szCs w:val="24"/>
        </w:rPr>
        <w:t>La detrazione, secondo quanto previsto dalla legge di Bilancio 2018, riguarda le spese sostenute nel 2018, per cui va effettuata nella dichiarazione dei redditi 2019.</w:t>
      </w:r>
    </w:p>
    <w:p w:rsidR="00FF48B8" w:rsidRDefault="00FF48B8"/>
    <w:sectPr w:rsidR="00FF4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16"/>
    <w:multiLevelType w:val="multilevel"/>
    <w:tmpl w:val="B866D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708A"/>
    <w:multiLevelType w:val="multilevel"/>
    <w:tmpl w:val="37CCE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7C5F"/>
    <w:rsid w:val="00FE7C5F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E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7C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E7C5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E7C5F"/>
    <w:rPr>
      <w:b/>
      <w:bCs/>
    </w:rPr>
  </w:style>
  <w:style w:type="character" w:customStyle="1" w:styleId="nltitle">
    <w:name w:val="nltitle"/>
    <w:basedOn w:val="Carpredefinitoparagrafo"/>
    <w:rsid w:val="00FE7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izzontescuola.it/consulenza/730-integrativo-ecco-come-fare-per-correggere-gli-errori/" TargetMode="External"/><Relationship Id="rId5" Type="http://schemas.openxmlformats.org/officeDocument/2006/relationships/hyperlink" Target="https://www.agenziaentrate.gov.it/wps/file/nsilib/nsi/normativa+e+prassi/circolari/archivio+circolari/circolari+2018/aprile+2018/circolare+n+7+del+27+04+2018/CIRCOLARE+7+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Bonafede</dc:creator>
  <cp:keywords/>
  <dc:description/>
  <cp:lastModifiedBy>Annalisa Bonafede</cp:lastModifiedBy>
  <cp:revision>3</cp:revision>
  <dcterms:created xsi:type="dcterms:W3CDTF">2018-10-29T16:10:00Z</dcterms:created>
  <dcterms:modified xsi:type="dcterms:W3CDTF">2018-10-29T16:10:00Z</dcterms:modified>
</cp:coreProperties>
</file>